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D6D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49DF9C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度宁波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北仑区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人民政府质量奖申报组织汇总表</w:t>
      </w:r>
    </w:p>
    <w:tbl>
      <w:tblPr>
        <w:tblStyle w:val="8"/>
        <w:tblW w:w="15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014"/>
        <w:gridCol w:w="990"/>
        <w:gridCol w:w="1350"/>
        <w:gridCol w:w="990"/>
        <w:gridCol w:w="894"/>
        <w:gridCol w:w="1150"/>
        <w:gridCol w:w="1142"/>
        <w:gridCol w:w="1142"/>
        <w:gridCol w:w="1142"/>
        <w:gridCol w:w="825"/>
        <w:gridCol w:w="1062"/>
        <w:gridCol w:w="900"/>
        <w:gridCol w:w="807"/>
        <w:gridCol w:w="843"/>
      </w:tblGrid>
      <w:tr w14:paraId="3246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44" w:type="dxa"/>
            <w:noWrap w:val="0"/>
            <w:vAlign w:val="center"/>
          </w:tcPr>
          <w:p w14:paraId="758D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14" w:type="dxa"/>
            <w:noWrap w:val="0"/>
            <w:vAlign w:val="center"/>
          </w:tcPr>
          <w:p w14:paraId="55CC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990" w:type="dxa"/>
            <w:noWrap w:val="0"/>
            <w:vAlign w:val="center"/>
          </w:tcPr>
          <w:p w14:paraId="47CE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</w:t>
            </w:r>
          </w:p>
          <w:p w14:paraId="3085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代表人</w:t>
            </w:r>
          </w:p>
        </w:tc>
        <w:tc>
          <w:tcPr>
            <w:tcW w:w="1350" w:type="dxa"/>
            <w:noWrap w:val="0"/>
            <w:vAlign w:val="center"/>
          </w:tcPr>
          <w:p w14:paraId="3655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90" w:type="dxa"/>
            <w:noWrap w:val="0"/>
            <w:vAlign w:val="center"/>
          </w:tcPr>
          <w:p w14:paraId="190E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注册登记时间</w:t>
            </w:r>
          </w:p>
        </w:tc>
        <w:tc>
          <w:tcPr>
            <w:tcW w:w="894" w:type="dxa"/>
            <w:noWrap w:val="0"/>
            <w:vAlign w:val="center"/>
          </w:tcPr>
          <w:p w14:paraId="2B7D63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所属行业及小类代码</w:t>
            </w:r>
          </w:p>
        </w:tc>
        <w:tc>
          <w:tcPr>
            <w:tcW w:w="1150" w:type="dxa"/>
            <w:noWrap w:val="0"/>
            <w:vAlign w:val="center"/>
          </w:tcPr>
          <w:p w14:paraId="5AA63C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主导产品或服务</w:t>
            </w:r>
          </w:p>
        </w:tc>
        <w:tc>
          <w:tcPr>
            <w:tcW w:w="1142" w:type="dxa"/>
            <w:noWrap w:val="0"/>
            <w:vAlign w:val="center"/>
          </w:tcPr>
          <w:p w14:paraId="498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年</w:t>
            </w:r>
          </w:p>
          <w:p w14:paraId="76E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销售总额</w:t>
            </w:r>
            <w:r>
              <w:rPr>
                <w:rStyle w:val="11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142" w:type="dxa"/>
            <w:noWrap w:val="0"/>
            <w:vAlign w:val="center"/>
          </w:tcPr>
          <w:p w14:paraId="495A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年</w:t>
            </w:r>
          </w:p>
          <w:p w14:paraId="73B7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利润总额</w:t>
            </w:r>
            <w:r>
              <w:rPr>
                <w:rStyle w:val="11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142" w:type="dxa"/>
            <w:noWrap w:val="0"/>
            <w:vAlign w:val="center"/>
          </w:tcPr>
          <w:p w14:paraId="242C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年</w:t>
            </w:r>
          </w:p>
          <w:p w14:paraId="3D22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纳税总额</w:t>
            </w:r>
            <w:r>
              <w:rPr>
                <w:rStyle w:val="11"/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825" w:type="dxa"/>
            <w:noWrap w:val="0"/>
            <w:vAlign w:val="center"/>
          </w:tcPr>
          <w:p w14:paraId="5C1736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职工人数</w:t>
            </w:r>
          </w:p>
        </w:tc>
        <w:tc>
          <w:tcPr>
            <w:tcW w:w="1062" w:type="dxa"/>
            <w:noWrap w:val="0"/>
            <w:vAlign w:val="center"/>
          </w:tcPr>
          <w:p w14:paraId="29AEF6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实施卓越绩效管理时间</w:t>
            </w:r>
          </w:p>
        </w:tc>
        <w:tc>
          <w:tcPr>
            <w:tcW w:w="900" w:type="dxa"/>
            <w:noWrap w:val="0"/>
            <w:vAlign w:val="center"/>
          </w:tcPr>
          <w:p w14:paraId="47471DED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辅导机构全称</w:t>
            </w:r>
          </w:p>
        </w:tc>
        <w:tc>
          <w:tcPr>
            <w:tcW w:w="807" w:type="dxa"/>
            <w:noWrap w:val="0"/>
            <w:vAlign w:val="center"/>
          </w:tcPr>
          <w:p w14:paraId="33FAEF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联系人</w:t>
            </w:r>
          </w:p>
        </w:tc>
        <w:tc>
          <w:tcPr>
            <w:tcW w:w="843" w:type="dxa"/>
            <w:noWrap w:val="0"/>
            <w:vAlign w:val="center"/>
          </w:tcPr>
          <w:p w14:paraId="424747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 w14:paraId="35FF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top"/>
          </w:tcPr>
          <w:p w14:paraId="42A35B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  <w:noWrap w:val="0"/>
            <w:vAlign w:val="top"/>
          </w:tcPr>
          <w:p w14:paraId="3B666E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1FB42F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1CCCB5C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06FB9D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94" w:type="dxa"/>
            <w:noWrap w:val="0"/>
            <w:vAlign w:val="top"/>
          </w:tcPr>
          <w:p w14:paraId="34B73A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 w14:paraId="7BA706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26B849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580EED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1D3F48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50866E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062" w:type="dxa"/>
            <w:noWrap w:val="0"/>
            <w:vAlign w:val="top"/>
          </w:tcPr>
          <w:p w14:paraId="3AA827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9BBE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07" w:type="dxa"/>
            <w:noWrap w:val="0"/>
            <w:vAlign w:val="top"/>
          </w:tcPr>
          <w:p w14:paraId="4A577B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 w14:paraId="3DE658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</w:tr>
      <w:tr w14:paraId="15BB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top"/>
          </w:tcPr>
          <w:p w14:paraId="0AABCA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  <w:noWrap w:val="0"/>
            <w:vAlign w:val="top"/>
          </w:tcPr>
          <w:p w14:paraId="173706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741D20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09496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483718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94" w:type="dxa"/>
            <w:noWrap w:val="0"/>
            <w:vAlign w:val="top"/>
          </w:tcPr>
          <w:p w14:paraId="147B32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 w14:paraId="542AA8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7A03F7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45FC85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36FE0E4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3C382B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062" w:type="dxa"/>
            <w:noWrap w:val="0"/>
            <w:vAlign w:val="top"/>
          </w:tcPr>
          <w:p w14:paraId="0938AD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3C38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07" w:type="dxa"/>
            <w:noWrap w:val="0"/>
            <w:vAlign w:val="top"/>
          </w:tcPr>
          <w:p w14:paraId="56CBC9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 w14:paraId="41FFD0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</w:tr>
      <w:tr w14:paraId="12B2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top"/>
          </w:tcPr>
          <w:p w14:paraId="7B948F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  <w:noWrap w:val="0"/>
            <w:vAlign w:val="top"/>
          </w:tcPr>
          <w:p w14:paraId="6378655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440FF0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63797F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00E765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94" w:type="dxa"/>
            <w:noWrap w:val="0"/>
            <w:vAlign w:val="top"/>
          </w:tcPr>
          <w:p w14:paraId="7500B7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 w14:paraId="64AE13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05273B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2D99A8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67A29E5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1FD9F8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062" w:type="dxa"/>
            <w:noWrap w:val="0"/>
            <w:vAlign w:val="top"/>
          </w:tcPr>
          <w:p w14:paraId="070621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 w14:paraId="520031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07" w:type="dxa"/>
            <w:noWrap w:val="0"/>
            <w:vAlign w:val="top"/>
          </w:tcPr>
          <w:p w14:paraId="09A5A4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 w14:paraId="182B22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</w:tr>
      <w:tr w14:paraId="3FD8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top"/>
          </w:tcPr>
          <w:p w14:paraId="4A82E3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  <w:noWrap w:val="0"/>
            <w:vAlign w:val="top"/>
          </w:tcPr>
          <w:p w14:paraId="20FA0C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0F8D18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12DE47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3F266A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94" w:type="dxa"/>
            <w:noWrap w:val="0"/>
            <w:vAlign w:val="top"/>
          </w:tcPr>
          <w:p w14:paraId="55C147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 w14:paraId="308C13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7B03F3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634765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5311DE0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55C44D6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062" w:type="dxa"/>
            <w:noWrap w:val="0"/>
            <w:vAlign w:val="top"/>
          </w:tcPr>
          <w:p w14:paraId="33358A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894D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07" w:type="dxa"/>
            <w:noWrap w:val="0"/>
            <w:vAlign w:val="top"/>
          </w:tcPr>
          <w:p w14:paraId="737BE7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 w14:paraId="13BAC4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</w:tr>
      <w:tr w14:paraId="3B23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top"/>
          </w:tcPr>
          <w:p w14:paraId="52A00D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  <w:noWrap w:val="0"/>
            <w:vAlign w:val="top"/>
          </w:tcPr>
          <w:p w14:paraId="2DA407C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339A5D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F31B8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top"/>
          </w:tcPr>
          <w:p w14:paraId="4558A5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94" w:type="dxa"/>
            <w:noWrap w:val="0"/>
            <w:vAlign w:val="top"/>
          </w:tcPr>
          <w:p w14:paraId="403BDD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50" w:type="dxa"/>
            <w:noWrap w:val="0"/>
            <w:vAlign w:val="top"/>
          </w:tcPr>
          <w:p w14:paraId="452975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54D4A2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207729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142" w:type="dxa"/>
            <w:noWrap w:val="0"/>
            <w:vAlign w:val="top"/>
          </w:tcPr>
          <w:p w14:paraId="68558E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25" w:type="dxa"/>
            <w:noWrap w:val="0"/>
            <w:vAlign w:val="top"/>
          </w:tcPr>
          <w:p w14:paraId="046F4A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1062" w:type="dxa"/>
            <w:noWrap w:val="0"/>
            <w:vAlign w:val="top"/>
          </w:tcPr>
          <w:p w14:paraId="1CE5E9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 w14:paraId="06F531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07" w:type="dxa"/>
            <w:noWrap w:val="0"/>
            <w:vAlign w:val="top"/>
          </w:tcPr>
          <w:p w14:paraId="053720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  <w:tc>
          <w:tcPr>
            <w:tcW w:w="843" w:type="dxa"/>
            <w:noWrap w:val="0"/>
            <w:vAlign w:val="top"/>
          </w:tcPr>
          <w:p w14:paraId="7929C3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32"/>
                <w:szCs w:val="32"/>
                <w:vertAlign w:val="baseline"/>
              </w:rPr>
            </w:pPr>
          </w:p>
        </w:tc>
      </w:tr>
    </w:tbl>
    <w:p w14:paraId="6D149173"/>
    <w:p w14:paraId="3AA1F54A"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D939"/>
    <w:rsid w:val="4E8240AC"/>
    <w:rsid w:val="7FBFD939"/>
    <w:rsid w:val="DFEFF21F"/>
    <w:rsid w:val="FE7E4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widowControl/>
      <w:ind w:firstLine="420" w:firstLineChars="100"/>
      <w:jc w:val="left"/>
    </w:pPr>
    <w:rPr>
      <w:kern w:val="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136</Characters>
  <Lines>0</Lines>
  <Paragraphs>0</Paragraphs>
  <TotalTime>0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2024-04-23T02:24:00Z</dcterms:created>
  <dc:creator>guest</dc:creator>
  <cp:lastModifiedBy>再等一分钟</cp:lastModifiedBy>
  <dcterms:modified xsi:type="dcterms:W3CDTF">2024-12-26T04:52:04Z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9D6A9D6D25DD4995B0D7AB4D22651782_13</vt:lpwstr>
  </property>
</Properties>
</file>